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16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金沙江银江水电站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工程物探检测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招标公告</w:t>
      </w:r>
    </w:p>
    <w:bookmarkEnd w:id="16"/>
    <w:p>
      <w:pPr>
        <w:spacing w:line="280" w:lineRule="atLeast"/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pStyle w:val="6"/>
        <w:snapToGrid/>
        <w:spacing w:line="360" w:lineRule="auto"/>
        <w:ind w:firstLine="0" w:firstLineChars="0"/>
        <w:outlineLvl w:val="1"/>
        <w:rPr>
          <w:rFonts w:asciiTheme="minorEastAsia" w:hAnsiTheme="minorEastAsia" w:eastAsiaTheme="minorEastAsia" w:cstheme="minorEastAsia"/>
          <w:b/>
          <w:kern w:val="2"/>
          <w:sz w:val="28"/>
          <w:szCs w:val="28"/>
        </w:rPr>
      </w:pPr>
      <w:bookmarkStart w:id="0" w:name="_Toc421021278"/>
      <w:bookmarkStart w:id="1" w:name="_Toc7018"/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</w:rPr>
        <w:t>1  招标条件</w:t>
      </w:r>
      <w:bookmarkEnd w:id="0"/>
      <w:bookmarkEnd w:id="1"/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bookmarkStart w:id="2" w:name="_Toc421021279"/>
      <w:bookmarkStart w:id="3" w:name="_Toc286232501"/>
      <w:r>
        <w:rPr>
          <w:rFonts w:hint="eastAsia" w:asciiTheme="minorEastAsia" w:hAnsiTheme="minorEastAsia" w:eastAsiaTheme="minorEastAsia" w:cstheme="minorEastAsia"/>
          <w:sz w:val="28"/>
          <w:szCs w:val="28"/>
        </w:rPr>
        <w:t>1.1 本招标项目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金沙江银江水电站</w:t>
      </w:r>
      <w:r>
        <w:rPr>
          <w:rFonts w:hint="eastAsia" w:asciiTheme="minorEastAsia" w:hAnsiTheme="minorEastAsia" w:eastAsiaTheme="minorEastAsia" w:cstheme="minorEastAsia"/>
          <w:sz w:val="28"/>
        </w:rPr>
        <w:t>(项目名称)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已由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四川省发展和改革委员会</w:t>
      </w:r>
      <w:r>
        <w:rPr>
          <w:rFonts w:hint="eastAsia" w:asciiTheme="minorEastAsia" w:hAnsiTheme="minorEastAsia" w:eastAsiaTheme="minorEastAsia" w:cstheme="minorEastAsia"/>
          <w:sz w:val="28"/>
        </w:rPr>
        <w:t>(项目审批、核准或备案机关名称)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川发改能源〔 2018 〕175 号</w:t>
      </w:r>
      <w:r>
        <w:rPr>
          <w:rFonts w:hint="eastAsia" w:asciiTheme="minorEastAsia" w:hAnsiTheme="minorEastAsia" w:eastAsiaTheme="minorEastAsia" w:cstheme="minorEastAsia"/>
          <w:sz w:val="28"/>
        </w:rPr>
        <w:t>（批文名称及编号）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批准建设，项目业主为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攀枝花华润水电开发有限公司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，建设资金来自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自筹</w:t>
      </w:r>
      <w:r>
        <w:rPr>
          <w:rFonts w:hint="eastAsia" w:asciiTheme="minorEastAsia" w:hAnsiTheme="minorEastAsia" w:eastAsiaTheme="minorEastAsia" w:cstheme="minorEastAsia"/>
          <w:sz w:val="28"/>
        </w:rPr>
        <w:t>（资金来源）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，项目出资比例为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自筹20% 、融资80%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，招标人为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攀枝花华润水电开发有限公司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。项目已具备招标条件，现对该项目的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工程物探检测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标段进行公开招标。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1.2 本招标项目为四川省行政区域内的国家投资工程建设项目，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四川省发展和改革委员会</w:t>
      </w:r>
      <w:r>
        <w:rPr>
          <w:rFonts w:hint="eastAsia" w:asciiTheme="minorEastAsia" w:hAnsiTheme="minorEastAsia" w:eastAsiaTheme="minorEastAsia" w:cstheme="minorEastAsia"/>
          <w:sz w:val="28"/>
        </w:rPr>
        <w:t>（核准机关名称）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核准（招标事项核准文号为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川发改法规函〔 2019 〕1321 号）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的招标组织形式为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自行招标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pStyle w:val="6"/>
        <w:snapToGrid/>
        <w:spacing w:line="360" w:lineRule="auto"/>
        <w:ind w:firstLine="0" w:firstLineChars="0"/>
        <w:outlineLvl w:val="1"/>
        <w:rPr>
          <w:rFonts w:asciiTheme="minorEastAsia" w:hAnsiTheme="minorEastAsia" w:eastAsiaTheme="minorEastAsia" w:cstheme="minorEastAsia"/>
          <w:b/>
          <w:sz w:val="28"/>
          <w:szCs w:val="28"/>
        </w:rPr>
      </w:pPr>
      <w:bookmarkStart w:id="4" w:name="_Toc1597"/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</w:rPr>
        <w:t>2  项目概况与招标范围</w:t>
      </w:r>
      <w:bookmarkEnd w:id="2"/>
      <w:bookmarkEnd w:id="4"/>
    </w:p>
    <w:bookmarkEnd w:id="3"/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2.1  项目概况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银江水电站位于金沙江中游攀枝花河段末端——金沙江和雅砻江汇合口上游约3.6km，上距攀枝花市主城区（攀枝花水文断面）约10km，上游衔接梯级为金沙水电站，两梯级相距21.39km，控制流域面积25.98万km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，多年平均流量1870m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/s，年径流量590亿m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银江水电站开发任务为发电、改善城市水域景观和取水条件等。水库正常蓄水位998.5m，死水位998.0m，总库容5900万m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，调节库容180万m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，库容系数0.003%，为径流式电站。电站装机容量390MW，最大坝高73m，多年平均年发电量15.69/18.34亿kW·h（龙盘建成前/后）。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2.2 招标范围：本合同项目的招标内容和主要项目为：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本次招标项目为金沙江银江水电站工程物探检测，主要内容包括（但不限于）：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（1）围堰防渗墙物探检测。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（2）大坝结构混凝土物探检测。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（3）基础固结灌浆质量检测。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（4）帷幕灌浆质量检测。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（5）灌浆平硐回填灌浆质量检测。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（6）银江大桥、跨明渠桥灌注桩质量检测。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（7）配合验收工作。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2.3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本合同服务期限为：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>2020年10月15日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至2026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>年12月31日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。各检测项目的控制性进度与相应土建施工进度相匹配。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2.4  服务质量要求：满足国家、行业相关标准规定。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2.5 标段划分：本标段分为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1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个标段。</w:t>
      </w:r>
    </w:p>
    <w:p>
      <w:pPr>
        <w:pStyle w:val="6"/>
        <w:snapToGrid/>
        <w:spacing w:line="360" w:lineRule="auto"/>
        <w:ind w:firstLine="562"/>
        <w:outlineLvl w:val="1"/>
        <w:rPr>
          <w:rFonts w:asciiTheme="minorEastAsia" w:hAnsiTheme="minorEastAsia" w:eastAsiaTheme="minorEastAsia" w:cstheme="minorEastAsia"/>
          <w:sz w:val="28"/>
          <w:szCs w:val="28"/>
        </w:rPr>
      </w:pPr>
      <w:bookmarkStart w:id="5" w:name="_Toc4529"/>
      <w:bookmarkStart w:id="6" w:name="_Toc421021280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3  投标人资格要求</w:t>
      </w:r>
      <w:bookmarkEnd w:id="5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</w:t>
      </w:r>
      <w:bookmarkEnd w:id="6"/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3.1本次招标要求投标人须具备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独立法人资格，并具有工程勘察综合类甲级或工程设计综合甲级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资质；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近10年内具有不少于一个II等大（2）型及以上水利水电工程施工期物探检测或勘察设计（在建或完工）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类似项目业绩，并在人员、设备、资金等方面具有相应的承包能力。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3.2  本次招标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不接受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联合体投标。</w:t>
      </w:r>
    </w:p>
    <w:p>
      <w:pPr>
        <w:pStyle w:val="6"/>
        <w:snapToGrid/>
        <w:spacing w:line="360" w:lineRule="auto"/>
        <w:ind w:firstLine="562"/>
        <w:outlineLvl w:val="1"/>
        <w:rPr>
          <w:rFonts w:asciiTheme="minorEastAsia" w:hAnsiTheme="minorEastAsia" w:eastAsiaTheme="minorEastAsia" w:cstheme="minorEastAsia"/>
          <w:b/>
          <w:sz w:val="28"/>
          <w:szCs w:val="28"/>
        </w:rPr>
      </w:pPr>
      <w:bookmarkStart w:id="7" w:name="_Toc421021281"/>
      <w:bookmarkStart w:id="8" w:name="_Toc3135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4  招标文件的获取</w:t>
      </w:r>
      <w:bookmarkEnd w:id="7"/>
      <w:bookmarkEnd w:id="8"/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bookmarkStart w:id="9" w:name="_Toc421021282"/>
      <w:bookmarkStart w:id="10" w:name="_Toc286232504"/>
      <w:r>
        <w:rPr>
          <w:rFonts w:hint="eastAsia" w:asciiTheme="minorEastAsia" w:hAnsiTheme="minorEastAsia" w:eastAsiaTheme="minorEastAsia" w:cstheme="minorEastAsia"/>
          <w:sz w:val="28"/>
          <w:szCs w:val="28"/>
        </w:rPr>
        <w:t>4.1 凡有意参加投标者，请于2020年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月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日开始登陆全国公共资源交易平台（四川省）（http://ggzyjy.sc.gov.cn/）“国家投资建设工程类项目系统登录入口”，通过数字证书免费下载招标资料（招标文件、工程量清单、施工图纸等）。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4.2 招标人不提供其他任何报名和招标文件获取的方式。</w:t>
      </w:r>
    </w:p>
    <w:p>
      <w:pPr>
        <w:pStyle w:val="6"/>
        <w:snapToGrid/>
        <w:spacing w:line="360" w:lineRule="auto"/>
        <w:ind w:firstLine="562"/>
        <w:outlineLvl w:val="1"/>
        <w:rPr>
          <w:rFonts w:asciiTheme="minorEastAsia" w:hAnsiTheme="minorEastAsia" w:eastAsiaTheme="minorEastAsia" w:cstheme="minorEastAsia"/>
          <w:b/>
          <w:sz w:val="28"/>
          <w:szCs w:val="28"/>
        </w:rPr>
      </w:pPr>
      <w:bookmarkStart w:id="11" w:name="_Toc458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5投标文件的递交</w:t>
      </w:r>
      <w:bookmarkEnd w:id="9"/>
      <w:bookmarkEnd w:id="10"/>
      <w:bookmarkEnd w:id="11"/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2" w:name="_Toc421021283"/>
      <w:r>
        <w:rPr>
          <w:rFonts w:hint="eastAsia" w:asciiTheme="minorEastAsia" w:hAnsiTheme="minorEastAsia" w:eastAsiaTheme="minorEastAsia" w:cstheme="minorEastAsia"/>
          <w:sz w:val="28"/>
          <w:szCs w:val="28"/>
        </w:rPr>
        <w:t>5.1 投标文件递交的截止时间（投标截止时间，下同）为2020年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时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分，地点为：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四川省政府政务服务和公共资源交易服务中心（成都市青羊区人民中路3段35号）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pStyle w:val="6"/>
        <w:snapToGrid/>
        <w:spacing w:line="360" w:lineRule="auto"/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5.2 逾期送达的或者未送达指定地点的投标文件，招标人不予受理。</w:t>
      </w:r>
    </w:p>
    <w:p>
      <w:pPr>
        <w:pStyle w:val="6"/>
        <w:snapToGrid/>
        <w:spacing w:line="360" w:lineRule="auto"/>
        <w:ind w:firstLine="562"/>
        <w:outlineLvl w:val="1"/>
        <w:rPr>
          <w:rFonts w:asciiTheme="minorEastAsia" w:hAnsiTheme="minorEastAsia" w:eastAsiaTheme="minorEastAsia" w:cstheme="minorEastAsia"/>
          <w:b/>
          <w:sz w:val="28"/>
          <w:szCs w:val="28"/>
        </w:rPr>
      </w:pPr>
      <w:bookmarkStart w:id="13" w:name="_Toc1554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6发布公告的媒介</w:t>
      </w:r>
      <w:bookmarkEnd w:id="12"/>
      <w:bookmarkEnd w:id="13"/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4" w:name="_Toc421021284"/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本次招标公告在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>四川省投资集团有限责任公司、四川川投能源股份有限公司、四川省公共资源交易信息网《全国公共资源交易平台（四川省）》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(发布公告的所有媒介名称）上发布。</w:t>
      </w:r>
    </w:p>
    <w:p>
      <w:pPr>
        <w:pStyle w:val="6"/>
        <w:snapToGrid/>
        <w:spacing w:line="360" w:lineRule="auto"/>
        <w:ind w:firstLine="562"/>
        <w:outlineLvl w:val="1"/>
        <w:rPr>
          <w:rFonts w:asciiTheme="minorEastAsia" w:hAnsiTheme="minorEastAsia" w:eastAsiaTheme="minorEastAsia" w:cstheme="minorEastAsia"/>
          <w:b/>
          <w:sz w:val="28"/>
          <w:szCs w:val="28"/>
        </w:rPr>
      </w:pPr>
      <w:bookmarkStart w:id="15" w:name="_Toc3010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7联系方式</w:t>
      </w:r>
      <w:bookmarkEnd w:id="14"/>
      <w:bookmarkEnd w:id="15"/>
    </w:p>
    <w:p>
      <w:pPr>
        <w:spacing w:line="360" w:lineRule="auto"/>
        <w:ind w:firstLine="495" w:firstLineChars="177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招标人：攀枝花华润水电开发有限公司</w:t>
      </w:r>
    </w:p>
    <w:p>
      <w:pPr>
        <w:spacing w:line="360" w:lineRule="auto"/>
        <w:ind w:firstLine="495" w:firstLineChars="177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 攀枝花东区人民街 29-41号</w:t>
      </w:r>
    </w:p>
    <w:p>
      <w:pPr>
        <w:spacing w:line="360" w:lineRule="auto"/>
        <w:ind w:firstLine="495" w:firstLineChars="177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邮编： 475000</w:t>
      </w:r>
    </w:p>
    <w:p>
      <w:pPr>
        <w:spacing w:line="360" w:lineRule="auto"/>
        <w:ind w:firstLine="495" w:firstLineChars="177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 熊工</w:t>
      </w:r>
    </w:p>
    <w:p>
      <w:pPr>
        <w:spacing w:line="360" w:lineRule="auto"/>
        <w:ind w:firstLine="495" w:firstLineChars="177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 0812-5502032</w:t>
      </w:r>
    </w:p>
    <w:p>
      <w:pPr>
        <w:spacing w:line="360" w:lineRule="auto"/>
        <w:ind w:firstLine="495" w:firstLineChars="177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传真： 0812-5550850</w:t>
      </w:r>
    </w:p>
    <w:p>
      <w:pPr>
        <w:pStyle w:val="8"/>
        <w:spacing w:before="0" w:after="0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right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020年7月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900" w:hanging="420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Thb4+4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Tps&#10;cp7rBXe1jdhO7jJVOMKOhXF2mee4Z2k53t5z1uvfsH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AThb4+4AQAAVQMAAA4AAAAAAAAAAQAgAAAAIgEAAGRycy9lMm9Eb2MueG1sUEsFBgAAAAAG&#10;AAYAWQEAAEwFAAAAAA==&#10;">
              <v:path/>
              <v:fill on="f" focussize="0,0"/>
              <v:stroke on="f" weight="1.2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Dq2WMe4AQAAVQMAAA4AAAAAAAAAAQAgAAAAIgEAAGRycy9lMm9Eb2MueG1sUEsFBgAAAAAG&#10;AAYAWQEAAEwFAAAAAA==&#10;">
              <v:path/>
              <v:fill on="f" focussize="0,0"/>
              <v:stroke on="f" weight="1.2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57EF"/>
    <w:rsid w:val="45E2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460" w:lineRule="exact"/>
      <w:jc w:val="center"/>
      <w:outlineLvl w:val="0"/>
    </w:pPr>
    <w:rPr>
      <w:rFonts w:ascii="黑体" w:hAnsi="Cambria" w:eastAsia="黑体"/>
      <w:bCs/>
      <w:sz w:val="36"/>
      <w:szCs w:val="32"/>
    </w:rPr>
  </w:style>
  <w:style w:type="paragraph" w:customStyle="1" w:styleId="6">
    <w:name w:val="样式 样式 样式 样式 样式 正  文 + 首行缩进:  2 字符 + 首行缩进:  2 字符 + 首行缩进:  2 字符1 +..."/>
    <w:basedOn w:val="7"/>
    <w:qFormat/>
    <w:uiPriority w:val="0"/>
    <w:rPr>
      <w:color w:val="auto"/>
    </w:rPr>
  </w:style>
  <w:style w:type="paragraph" w:customStyle="1" w:styleId="7">
    <w:name w:val="样式 样式 样式 样式 正  文 + 首行缩进:  2 字符 + 首行缩进:  2 字符 + 首行缩进:  2 字符1 + 宋体..."/>
    <w:basedOn w:val="1"/>
    <w:qFormat/>
    <w:uiPriority w:val="0"/>
    <w:pPr>
      <w:snapToGrid w:val="0"/>
      <w:spacing w:line="460" w:lineRule="exact"/>
      <w:ind w:firstLine="200" w:firstLineChars="200"/>
      <w:jc w:val="both"/>
    </w:pPr>
    <w:rPr>
      <w:rFonts w:ascii="宋体" w:hAnsi="宋体" w:cs="宋体"/>
      <w:color w:val="000000"/>
    </w:rPr>
  </w:style>
  <w:style w:type="paragraph" w:customStyle="1" w:styleId="8">
    <w:name w:val="标 题 一"/>
    <w:basedOn w:val="3"/>
    <w:qFormat/>
    <w:uiPriority w:val="0"/>
    <w:pPr>
      <w:spacing w:before="360" w:after="360"/>
    </w:pPr>
    <w:rPr>
      <w:rFonts w:cs="宋体"/>
      <w:bCs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2020-07-20T07:29:00Z</dcterms:created>
  <dc:creator>熊顺兵</dc:creator>
  <cp:lastModifiedBy>熊顺兵</cp:lastModifiedBy>
  <dcterms:modified xsi:type="dcterms:W3CDTF">2020-07-20T07:30:19Z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